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AA1277" w:rsidP="00AA1277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الأدب الثورى الليبى وإتفاقه مع الأدب الثورى لصويفر</w:t>
      </w:r>
    </w:p>
    <w:p w:rsidR="00AA1277" w:rsidRDefault="00AA1277" w:rsidP="00AA1277">
      <w:pPr>
        <w:jc w:val="right"/>
        <w:rPr>
          <w:rFonts w:hint="cs"/>
          <w:rtl/>
          <w:lang w:bidi="ar-EG"/>
        </w:rPr>
      </w:pPr>
    </w:p>
    <w:p w:rsidR="00AA1277" w:rsidRDefault="00AA1277" w:rsidP="002F192B">
      <w:pPr>
        <w:spacing w:line="360" w:lineRule="auto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تاريخ وعبر أعطتها مفاهيم الثورة عبر رحلة دولة البناء ممتدة منذ بدايات القرن السابق. فقد أعطت أقلام الأدباء مهدا </w:t>
      </w:r>
      <w:r w:rsidR="002F192B">
        <w:rPr>
          <w:rFonts w:hint="cs"/>
          <w:rtl/>
          <w:lang w:bidi="ar-EG"/>
        </w:rPr>
        <w:t xml:space="preserve">لثورات إمتدت طيلة تلك العقود. وعلى سبيل الذكر الأديب اليبى الصادق النيهوم فى كتاباته فرسان بلا </w:t>
      </w:r>
      <w:bookmarkStart w:id="0" w:name="_GoBack"/>
      <w:r w:rsidR="002F192B">
        <w:rPr>
          <w:rFonts w:hint="cs"/>
          <w:rtl/>
          <w:lang w:bidi="ar-EG"/>
        </w:rPr>
        <w:t>معركة ومحنة ثقافة مزورة</w:t>
      </w:r>
      <w:bookmarkEnd w:id="0"/>
      <w:r w:rsidR="002F192B">
        <w:rPr>
          <w:rFonts w:hint="cs"/>
          <w:rtl/>
          <w:lang w:bidi="ar-EG"/>
        </w:rPr>
        <w:t xml:space="preserve"> 1937 بنغازى  </w:t>
      </w:r>
    </w:p>
    <w:sectPr w:rsidR="00AA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87"/>
    <w:rsid w:val="002F192B"/>
    <w:rsid w:val="006F2387"/>
    <w:rsid w:val="007D2400"/>
    <w:rsid w:val="008275BB"/>
    <w:rsid w:val="00AA1277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2022-02-19T16:55:00Z</dcterms:created>
  <dcterms:modified xsi:type="dcterms:W3CDTF">2022-02-19T20:55:00Z</dcterms:modified>
</cp:coreProperties>
</file>