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A32" w:rsidRDefault="008337F5" w:rsidP="008337F5">
      <w:pPr>
        <w:bidi/>
        <w:spacing w:line="360" w:lineRule="auto"/>
        <w:rPr>
          <w:rFonts w:cs="Arial" w:hint="cs"/>
          <w:rtl/>
        </w:rPr>
      </w:pPr>
      <w:r>
        <w:rPr>
          <w:rFonts w:ascii="Arial" w:hAnsi="Arial" w:cs="Arial"/>
          <w:rtl/>
        </w:rPr>
        <w:t>٢٠٢٢</w:t>
      </w:r>
      <w:r>
        <w:rPr>
          <w:rFonts w:hint="cs"/>
          <w:rtl/>
        </w:rPr>
        <w:t xml:space="preserve"> </w:t>
      </w:r>
      <w:r w:rsidRPr="008337F5">
        <w:t xml:space="preserve">: </w:t>
      </w:r>
      <w:r>
        <w:rPr>
          <w:rFonts w:hint="cs"/>
          <w:rtl/>
        </w:rPr>
        <w:t xml:space="preserve"> </w:t>
      </w:r>
      <w:r w:rsidRPr="008337F5">
        <w:rPr>
          <w:rFonts w:cs="Arial"/>
          <w:rtl/>
        </w:rPr>
        <w:t>الملخص كيرا شميت</w:t>
      </w:r>
    </w:p>
    <w:p w:rsidR="008337F5" w:rsidRDefault="008337F5" w:rsidP="008337F5">
      <w:pPr>
        <w:bidi/>
        <w:spacing w:line="360" w:lineRule="auto"/>
        <w:rPr>
          <w:rFonts w:cs="Arial" w:hint="cs"/>
          <w:rtl/>
        </w:rPr>
      </w:pPr>
    </w:p>
    <w:p w:rsidR="008337F5" w:rsidRDefault="008337F5" w:rsidP="008337F5">
      <w:pPr>
        <w:bidi/>
        <w:spacing w:line="360" w:lineRule="auto"/>
        <w:jc w:val="center"/>
        <w:rPr>
          <w:rFonts w:cs="Arial" w:hint="cs"/>
          <w:b/>
          <w:bCs/>
          <w:sz w:val="32"/>
          <w:szCs w:val="32"/>
          <w:rtl/>
        </w:rPr>
      </w:pPr>
      <w:r w:rsidRPr="008337F5">
        <w:rPr>
          <w:rFonts w:cs="Arial"/>
          <w:b/>
          <w:bCs/>
          <w:sz w:val="32"/>
          <w:szCs w:val="32"/>
          <w:rtl/>
        </w:rPr>
        <w:t>التواصل بين الإنسان والحيوان والمعرفة الأفريقية بالطبيعة. مقارنة بين النصوص الأدبية لإيليا ترويانو و زاكيس مدا</w:t>
      </w:r>
    </w:p>
    <w:p w:rsidR="008337F5" w:rsidRDefault="008337F5" w:rsidP="008337F5">
      <w:pPr>
        <w:bidi/>
        <w:spacing w:line="360" w:lineRule="auto"/>
        <w:jc w:val="center"/>
        <w:rPr>
          <w:rFonts w:cs="Arial" w:hint="cs"/>
          <w:b/>
          <w:bCs/>
          <w:sz w:val="32"/>
          <w:szCs w:val="32"/>
          <w:rtl/>
        </w:rPr>
      </w:pPr>
    </w:p>
    <w:p w:rsidR="008337F5" w:rsidRDefault="008337F5" w:rsidP="00BD6EAA">
      <w:pPr>
        <w:bidi/>
        <w:spacing w:line="360" w:lineRule="auto"/>
        <w:jc w:val="both"/>
        <w:rPr>
          <w:rFonts w:cs="Arial" w:hint="cs"/>
          <w:color w:val="000000" w:themeColor="text1"/>
          <w:sz w:val="28"/>
          <w:szCs w:val="28"/>
          <w:rtl/>
        </w:rPr>
      </w:pPr>
      <w:r w:rsidRPr="00663579">
        <w:rPr>
          <w:rFonts w:cs="Arial"/>
          <w:sz w:val="28"/>
          <w:szCs w:val="28"/>
          <w:rtl/>
        </w:rPr>
        <w:t>شخصيات الحيوانات الأدبية (</w:t>
      </w:r>
      <w:r w:rsidR="00BD6EAA">
        <w:rPr>
          <w:rFonts w:cs="Arial" w:hint="cs"/>
          <w:sz w:val="28"/>
          <w:szCs w:val="28"/>
          <w:rtl/>
        </w:rPr>
        <w:t>ولاسيما</w:t>
      </w:r>
      <w:r w:rsidRPr="00663579">
        <w:rPr>
          <w:rFonts w:cs="Arial"/>
          <w:sz w:val="28"/>
          <w:szCs w:val="28"/>
          <w:rtl/>
        </w:rPr>
        <w:t>) في النصوص الإفريقية والألمانية في إفريقيا</w:t>
      </w:r>
      <w:r w:rsidR="00BD6EAA">
        <w:rPr>
          <w:rFonts w:cs="Arial" w:hint="cs"/>
          <w:sz w:val="28"/>
          <w:szCs w:val="28"/>
          <w:rtl/>
        </w:rPr>
        <w:t xml:space="preserve"> لا تمثل شئ غير شائع</w:t>
      </w:r>
      <w:bookmarkStart w:id="0" w:name="_GoBack"/>
      <w:bookmarkEnd w:id="0"/>
      <w:r w:rsidRPr="00663579">
        <w:rPr>
          <w:rFonts w:cs="Arial"/>
          <w:sz w:val="28"/>
          <w:szCs w:val="28"/>
          <w:rtl/>
        </w:rPr>
        <w:t xml:space="preserve"> وتجذب اهتمامًا متزايدًا بالدراسات الأدبية</w:t>
      </w:r>
      <w:r w:rsidRPr="00BD6EAA">
        <w:rPr>
          <w:rFonts w:cs="Arial" w:hint="cs"/>
          <w:sz w:val="28"/>
          <w:szCs w:val="28"/>
          <w:rtl/>
        </w:rPr>
        <w:t xml:space="preserve">. </w:t>
      </w:r>
      <w:r w:rsidR="00BD6EAA" w:rsidRPr="00BD6EAA">
        <w:rPr>
          <w:rFonts w:cs="Arial"/>
          <w:sz w:val="28"/>
          <w:szCs w:val="28"/>
          <w:rtl/>
        </w:rPr>
        <w:t xml:space="preserve">(انظر ، على سبيل المثال </w:t>
      </w:r>
      <w:r w:rsidR="00BD6EAA" w:rsidRPr="00BD6EAA">
        <w:rPr>
          <w:rFonts w:cs="Arial"/>
          <w:sz w:val="28"/>
          <w:szCs w:val="28"/>
        </w:rPr>
        <w:t xml:space="preserve"> </w:t>
      </w:r>
      <w:r w:rsidR="00BD6EAA" w:rsidRPr="00BD6EAA">
        <w:rPr>
          <w:rFonts w:cs="Arial" w:hint="cs"/>
          <w:sz w:val="28"/>
          <w:szCs w:val="28"/>
          <w:rtl/>
          <w:lang w:bidi="ar-EG"/>
        </w:rPr>
        <w:t xml:space="preserve">مجلد </w:t>
      </w:r>
      <w:r w:rsidRPr="00BD6EAA">
        <w:rPr>
          <w:rFonts w:cs="Arial"/>
          <w:sz w:val="28"/>
          <w:szCs w:val="28"/>
          <w:rtl/>
        </w:rPr>
        <w:t xml:space="preserve"> طبائع إفريقيا</w:t>
      </w:r>
      <w:r w:rsidR="00BD6EAA" w:rsidRPr="00BD6EAA">
        <w:rPr>
          <w:rFonts w:cs="Arial" w:hint="cs"/>
          <w:sz w:val="28"/>
          <w:szCs w:val="28"/>
          <w:rtl/>
        </w:rPr>
        <w:t xml:space="preserve"> الذى حررته</w:t>
      </w:r>
      <w:r w:rsidR="00BD6EAA" w:rsidRPr="00BD6EAA">
        <w:rPr>
          <w:rtl/>
        </w:rPr>
        <w:t xml:space="preserve"> </w:t>
      </w:r>
      <w:r w:rsidR="00BD6EAA" w:rsidRPr="00BD6EAA">
        <w:rPr>
          <w:rFonts w:cs="Arial"/>
          <w:sz w:val="28"/>
          <w:szCs w:val="28"/>
          <w:rtl/>
        </w:rPr>
        <w:t>فيونا إف مولا</w:t>
      </w:r>
      <w:r w:rsidR="00BD6EAA" w:rsidRPr="00BD6EAA">
        <w:rPr>
          <w:rFonts w:cs="Arial" w:hint="cs"/>
          <w:sz w:val="28"/>
          <w:szCs w:val="28"/>
          <w:rtl/>
        </w:rPr>
        <w:t xml:space="preserve"> </w:t>
      </w:r>
      <w:r w:rsidRPr="00BD6EAA">
        <w:rPr>
          <w:rFonts w:cs="Arial"/>
          <w:sz w:val="28"/>
          <w:szCs w:val="28"/>
          <w:rtl/>
        </w:rPr>
        <w:t>:</w:t>
      </w:r>
      <w:r w:rsidR="00BD6EAA" w:rsidRPr="00BD6EAA">
        <w:rPr>
          <w:rtl/>
        </w:rPr>
        <w:t xml:space="preserve"> </w:t>
      </w:r>
      <w:r w:rsidR="00BD6EAA" w:rsidRPr="00BD6EAA">
        <w:rPr>
          <w:rFonts w:cs="Arial"/>
          <w:sz w:val="28"/>
          <w:szCs w:val="28"/>
          <w:rtl/>
        </w:rPr>
        <w:t>النقد البيئي والدراسات الحيوانية في الأشكال الثقافية المعاصرة</w:t>
      </w:r>
      <w:r w:rsidRPr="00BD6EAA">
        <w:rPr>
          <w:rFonts w:cs="Arial"/>
          <w:sz w:val="28"/>
          <w:szCs w:val="28"/>
          <w:rtl/>
        </w:rPr>
        <w:t>).</w:t>
      </w:r>
      <w:r w:rsidR="00663579" w:rsidRPr="00BD6EAA">
        <w:rPr>
          <w:rFonts w:cs="Arial" w:hint="cs"/>
          <w:sz w:val="28"/>
          <w:szCs w:val="28"/>
          <w:rtl/>
        </w:rPr>
        <w:t xml:space="preserve"> </w:t>
      </w:r>
      <w:r w:rsidR="00663579" w:rsidRPr="00663579">
        <w:rPr>
          <w:rFonts w:cs="Arial"/>
          <w:color w:val="000000" w:themeColor="text1"/>
          <w:sz w:val="28"/>
          <w:szCs w:val="28"/>
          <w:rtl/>
        </w:rPr>
        <w:t>إيليا تروجانوف وزاكس مدا ، وكلاهما يعمل في سياقات متعددة اللغات ، يستخدمان أيضًا شخصيات حيوانية في نصوصهما الأدبية.</w:t>
      </w:r>
      <w:r w:rsidR="00663579">
        <w:rPr>
          <w:rFonts w:cs="Arial" w:hint="cs"/>
          <w:color w:val="000000" w:themeColor="text1"/>
          <w:sz w:val="28"/>
          <w:szCs w:val="28"/>
          <w:rtl/>
        </w:rPr>
        <w:t xml:space="preserve"> </w:t>
      </w:r>
      <w:r w:rsidR="00663579" w:rsidRPr="00663579">
        <w:rPr>
          <w:rFonts w:cs="Arial"/>
          <w:color w:val="000000" w:themeColor="text1"/>
          <w:sz w:val="28"/>
          <w:szCs w:val="28"/>
          <w:rtl/>
        </w:rPr>
        <w:t>مع</w:t>
      </w:r>
      <w:r w:rsidR="00663579" w:rsidRPr="00663579">
        <w:rPr>
          <w:rtl/>
        </w:rPr>
        <w:t xml:space="preserve"> </w:t>
      </w:r>
      <w:r w:rsidR="00663579" w:rsidRPr="00663579">
        <w:rPr>
          <w:rFonts w:cs="Arial"/>
          <w:color w:val="000000" w:themeColor="text1"/>
          <w:sz w:val="28"/>
          <w:szCs w:val="28"/>
          <w:rtl/>
        </w:rPr>
        <w:t>تروجانوف ، يبدو أن موضوع التواصل بين الإنسان والحيوان معلق في الهواء ، على سبيل المثال عندما يحاول بطل الرواية ريتشارد فرانسيس بيرتون في</w:t>
      </w:r>
      <w:r w:rsidR="00432E06" w:rsidRPr="00432E06">
        <w:rPr>
          <w:rtl/>
        </w:rPr>
        <w:t xml:space="preserve"> </w:t>
      </w:r>
      <w:r w:rsidR="00432E06" w:rsidRPr="00432E06">
        <w:rPr>
          <w:rFonts w:cs="Arial"/>
          <w:color w:val="000000" w:themeColor="text1"/>
          <w:sz w:val="28"/>
          <w:szCs w:val="28"/>
          <w:rtl/>
        </w:rPr>
        <w:t>جامع العوالم</w:t>
      </w:r>
      <w:r w:rsidR="00663579" w:rsidRPr="00663579">
        <w:rPr>
          <w:rFonts w:cs="Arial"/>
          <w:color w:val="000000" w:themeColor="text1"/>
          <w:sz w:val="28"/>
          <w:szCs w:val="28"/>
          <w:rtl/>
        </w:rPr>
        <w:t xml:space="preserve"> فك شفرة لغة القرود.</w:t>
      </w:r>
    </w:p>
    <w:p w:rsidR="00663579" w:rsidRDefault="00663579" w:rsidP="00663579">
      <w:pPr>
        <w:bidi/>
        <w:spacing w:line="360" w:lineRule="auto"/>
        <w:jc w:val="both"/>
        <w:rPr>
          <w:rFonts w:cs="Arial" w:hint="cs"/>
          <w:color w:val="000000" w:themeColor="text1"/>
          <w:sz w:val="28"/>
          <w:szCs w:val="28"/>
          <w:rtl/>
        </w:rPr>
      </w:pPr>
      <w:r w:rsidRPr="00663579">
        <w:rPr>
          <w:rFonts w:cs="Arial"/>
          <w:color w:val="000000" w:themeColor="text1"/>
          <w:sz w:val="28"/>
          <w:szCs w:val="28"/>
          <w:rtl/>
        </w:rPr>
        <w:t>لكن إذا قارنت نصوص تروجانوف بنصوص نثر أفريقية حول التواصل بين الإنسان والحيوان ، تظهر صورة مختلفة. إذا قرأت النصوص على خلفية التواصل مع الحيوانات ، يمكنك أن ترى أن شخصيات تروجانوف البشرية "الغربية" تميز بشكل واضح بين البشر والحيوانات. مع</w:t>
      </w:r>
      <w:r w:rsidRPr="00663579">
        <w:rPr>
          <w:rtl/>
        </w:rPr>
        <w:t xml:space="preserve"> </w:t>
      </w:r>
      <w:r>
        <w:rPr>
          <w:rFonts w:hint="cs"/>
          <w:rtl/>
        </w:rPr>
        <w:t xml:space="preserve"> </w:t>
      </w:r>
      <w:r w:rsidRPr="00663579">
        <w:rPr>
          <w:rFonts w:cs="Arial"/>
          <w:color w:val="000000" w:themeColor="text1"/>
          <w:sz w:val="28"/>
          <w:szCs w:val="28"/>
          <w:rtl/>
        </w:rPr>
        <w:t>زاكيس مدا ، من ناحية أخرى ، تكون الحدود بين الإنسان والحيوان أكثر مرونة.</w:t>
      </w:r>
    </w:p>
    <w:p w:rsidR="00081A39" w:rsidRPr="00663579" w:rsidRDefault="00081A39" w:rsidP="00081A39">
      <w:pPr>
        <w:bidi/>
        <w:spacing w:line="360" w:lineRule="auto"/>
        <w:jc w:val="both"/>
        <w:rPr>
          <w:color w:val="000000" w:themeColor="text1"/>
          <w:sz w:val="28"/>
          <w:szCs w:val="28"/>
        </w:rPr>
      </w:pPr>
      <w:r w:rsidRPr="00081A39">
        <w:rPr>
          <w:rFonts w:cs="Arial"/>
          <w:color w:val="000000" w:themeColor="text1"/>
          <w:sz w:val="28"/>
          <w:szCs w:val="28"/>
          <w:rtl/>
        </w:rPr>
        <w:t>في مساهمتي ، أود أن أتفحص الدور الذي تلعبه المعرفة الأفريقية للتعددية اللغوية عبر الأنواع في التمثيل الأدبي للبيئة والمجتمع. لا يمتلك نهج التواصل مع الحيوانات القدرة على إنهاء استعمار العلاقة الغربية بالطبيعة فحسب ، بل يشكك أيضًا في علاقات القوة السائدة بين اللغة والتواصل.</w:t>
      </w:r>
    </w:p>
    <w:sectPr w:rsidR="00081A39" w:rsidRPr="00663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E09"/>
    <w:rsid w:val="00081A39"/>
    <w:rsid w:val="00414E09"/>
    <w:rsid w:val="00432E06"/>
    <w:rsid w:val="00663579"/>
    <w:rsid w:val="007D2400"/>
    <w:rsid w:val="008275BB"/>
    <w:rsid w:val="008337F5"/>
    <w:rsid w:val="00BD6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2022-03-03T16:58:00Z</dcterms:created>
  <dcterms:modified xsi:type="dcterms:W3CDTF">2022-03-03T17:33:00Z</dcterms:modified>
</cp:coreProperties>
</file>